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/>
          <w:color w:val="FF0000"/>
          <w:sz w:val="72"/>
          <w:highlight w:val="none"/>
        </w:rPr>
      </w:pPr>
      <w:r>
        <w:rPr>
          <w:rFonts w:hint="eastAsia"/>
          <w:color w:val="FF0000"/>
          <w:sz w:val="72"/>
          <w:highlight w:val="none"/>
          <w:lang w:eastAsia="zh-CN"/>
        </w:rPr>
        <w:t>控制科学与工程</w:t>
      </w:r>
      <w:r>
        <w:rPr>
          <w:rFonts w:hint="eastAsia"/>
          <w:color w:val="FF0000"/>
          <w:sz w:val="72"/>
          <w:highlight w:val="none"/>
        </w:rPr>
        <w:t>学院</w:t>
      </w:r>
    </w:p>
    <w:p>
      <w:pPr>
        <w:pageBreakBefore w:val="0"/>
        <w:pBdr>
          <w:bottom w:val="single" w:color="auto" w:sz="6" w:space="1"/>
        </w:pBdr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 w:ascii="仿宋_GB2312" w:hAnsi="华文仿宋" w:eastAsia="仿宋_GB2312"/>
          <w:color w:val="FF0000"/>
          <w:sz w:val="32"/>
          <w:szCs w:val="32"/>
          <w:highlight w:val="yellow"/>
        </w:rPr>
      </w:pPr>
      <w:r>
        <w:rPr>
          <w:rFonts w:hint="eastAsia" w:ascii="仿宋_GB2312" w:hAnsi="华文仿宋" w:eastAsia="仿宋_GB2312"/>
          <w:color w:val="FF0000"/>
          <w:sz w:val="32"/>
          <w:szCs w:val="32"/>
          <w:highlight w:val="yellow"/>
        </w:rPr>
        <w:t>津工大电自[20</w:t>
      </w:r>
      <w:r>
        <w:rPr>
          <w:rFonts w:hint="eastAsia" w:ascii="仿宋_GB2312" w:hAnsi="华文仿宋" w:eastAsia="仿宋_GB2312"/>
          <w:color w:val="FF0000"/>
          <w:sz w:val="32"/>
          <w:szCs w:val="32"/>
          <w:highlight w:val="yellow"/>
          <w:lang w:val="en-US" w:eastAsia="zh-CN"/>
        </w:rPr>
        <w:t>20</w:t>
      </w:r>
      <w:r>
        <w:rPr>
          <w:rFonts w:hint="eastAsia" w:ascii="仿宋_GB2312" w:hAnsi="华文仿宋" w:eastAsia="仿宋_GB2312"/>
          <w:color w:val="FF0000"/>
          <w:sz w:val="32"/>
          <w:szCs w:val="32"/>
          <w:highlight w:val="yellow"/>
        </w:rPr>
        <w:t>]</w:t>
      </w:r>
      <w:r>
        <w:rPr>
          <w:rFonts w:hint="eastAsia" w:ascii="仿宋_GB2312" w:hAnsi="华文仿宋" w:eastAsia="仿宋_GB2312"/>
          <w:color w:val="FF0000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_GB2312" w:hAnsi="华文仿宋" w:eastAsia="仿宋_GB2312"/>
          <w:color w:val="FF0000"/>
          <w:sz w:val="32"/>
          <w:szCs w:val="32"/>
          <w:highlight w:val="yellow"/>
        </w:rPr>
        <w:t>号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/>
          <w:color w:val="000000"/>
          <w:szCs w:val="21"/>
          <w:highlight w:val="none"/>
          <w:u w:val="none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ascii="黑体" w:eastAsia="黑体"/>
          <w:color w:val="auto"/>
          <w:sz w:val="36"/>
          <w:szCs w:val="28"/>
          <w:highlight w:val="none"/>
        </w:rPr>
      </w:pPr>
      <w:r>
        <w:rPr>
          <w:rFonts w:hint="eastAsia" w:ascii="黑体" w:eastAsia="黑体"/>
          <w:color w:val="auto"/>
          <w:sz w:val="36"/>
          <w:szCs w:val="28"/>
          <w:highlight w:val="none"/>
        </w:rPr>
        <w:t>“</w:t>
      </w:r>
      <w:r>
        <w:rPr>
          <w:rFonts w:hint="eastAsia" w:ascii="黑体" w:eastAsia="黑体"/>
          <w:color w:val="auto"/>
          <w:sz w:val="36"/>
          <w:szCs w:val="28"/>
          <w:highlight w:val="none"/>
          <w:lang w:eastAsia="zh-CN"/>
        </w:rPr>
        <w:t>心汇心</w:t>
      </w:r>
      <w:r>
        <w:rPr>
          <w:rFonts w:hint="eastAsia" w:ascii="黑体" w:eastAsia="黑体"/>
          <w:color w:val="auto"/>
          <w:sz w:val="36"/>
          <w:szCs w:val="28"/>
          <w:highlight w:val="none"/>
        </w:rPr>
        <w:t>奖学金”评</w:t>
      </w:r>
      <w:r>
        <w:rPr>
          <w:rFonts w:hint="eastAsia" w:ascii="黑体" w:eastAsia="黑体"/>
          <w:color w:val="auto"/>
          <w:sz w:val="36"/>
          <w:szCs w:val="28"/>
          <w:highlight w:val="none"/>
          <w:lang w:val="en-US" w:eastAsia="zh-CN"/>
        </w:rPr>
        <w:t>选</w:t>
      </w:r>
      <w:r>
        <w:rPr>
          <w:rFonts w:hint="eastAsia" w:ascii="黑体" w:eastAsia="黑体"/>
          <w:color w:val="auto"/>
          <w:sz w:val="36"/>
          <w:szCs w:val="28"/>
          <w:highlight w:val="none"/>
        </w:rPr>
        <w:t>条例</w:t>
      </w:r>
    </w:p>
    <w:p>
      <w:pPr>
        <w:pStyle w:val="9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default" w:ascii="微软简隶书" w:eastAsia="微软简隶书"/>
          <w:color w:val="auto"/>
          <w:sz w:val="30"/>
          <w:szCs w:val="30"/>
          <w:highlight w:val="none"/>
        </w:rPr>
      </w:pPr>
      <w:r>
        <w:rPr>
          <w:rFonts w:hint="eastAsia" w:ascii="微软简隶书" w:eastAsia="微软简隶书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微软简隶书" w:eastAsia="微软简隶书"/>
          <w:color w:val="auto"/>
          <w:sz w:val="30"/>
          <w:szCs w:val="30"/>
          <w:highlight w:val="none"/>
          <w:lang w:val="en-US" w:eastAsia="zh-CN"/>
        </w:rPr>
        <w:t>2021年）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南京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阳光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心汇心公益基金会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特出资</w:t>
      </w:r>
      <w:r>
        <w:rPr>
          <w:rFonts w:ascii="宋体" w:hAnsi="宋体" w:cs="Arial"/>
          <w:color w:val="auto"/>
          <w:kern w:val="0"/>
          <w:sz w:val="24"/>
          <w:highlight w:val="none"/>
        </w:rPr>
        <w:t>在天津工业大学设立“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心汇心</w:t>
      </w:r>
      <w:r>
        <w:rPr>
          <w:rFonts w:ascii="宋体" w:hAnsi="宋体" w:cs="Arial"/>
          <w:color w:val="auto"/>
          <w:kern w:val="0"/>
          <w:sz w:val="24"/>
          <w:highlight w:val="none"/>
        </w:rPr>
        <w:t>奖学金”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，以</w:t>
      </w:r>
      <w:r>
        <w:rPr>
          <w:rFonts w:hint="eastAsia" w:ascii="宋体" w:hAnsi="宋体"/>
          <w:color w:val="auto"/>
          <w:sz w:val="24"/>
          <w:highlight w:val="none"/>
        </w:rPr>
        <w:t>充分调动学生的积极性，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鼓励他们能够</w:t>
      </w:r>
      <w:r>
        <w:rPr>
          <w:rFonts w:ascii="宋体" w:hAnsi="宋体"/>
          <w:color w:val="auto"/>
          <w:sz w:val="24"/>
          <w:highlight w:val="none"/>
        </w:rPr>
        <w:t>勤奋学习、刻苦钻研、勇于创新</w:t>
      </w:r>
      <w:r>
        <w:rPr>
          <w:rFonts w:hint="eastAsia" w:ascii="宋体" w:hAnsi="宋体"/>
          <w:color w:val="auto"/>
          <w:sz w:val="24"/>
          <w:highlight w:val="none"/>
        </w:rPr>
        <w:t>和</w:t>
      </w:r>
      <w:r>
        <w:rPr>
          <w:rFonts w:ascii="宋体" w:hAnsi="宋体"/>
          <w:color w:val="auto"/>
          <w:sz w:val="24"/>
          <w:highlight w:val="none"/>
        </w:rPr>
        <w:t>大胆实践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。</w:t>
      </w:r>
      <w:r>
        <w:rPr>
          <w:rFonts w:hint="eastAsia" w:ascii="宋体" w:hAnsi="宋体"/>
          <w:color w:val="auto"/>
          <w:sz w:val="24"/>
          <w:highlight w:val="none"/>
        </w:rPr>
        <w:t>为规范该奖学金的评选工作</w:t>
      </w:r>
      <w:r>
        <w:rPr>
          <w:rFonts w:ascii="宋体" w:hAnsi="宋体" w:cs="Arial"/>
          <w:color w:val="auto"/>
          <w:kern w:val="0"/>
          <w:sz w:val="24"/>
          <w:highlight w:val="none"/>
        </w:rPr>
        <w:t>，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经协商，</w:t>
      </w:r>
      <w:r>
        <w:rPr>
          <w:rFonts w:ascii="宋体" w:hAnsi="宋体" w:cs="Arial"/>
          <w:color w:val="auto"/>
          <w:kern w:val="0"/>
          <w:sz w:val="24"/>
          <w:highlight w:val="none"/>
        </w:rPr>
        <w:t>制定以下评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选</w:t>
      </w:r>
      <w:r>
        <w:rPr>
          <w:rFonts w:ascii="宋体" w:hAnsi="宋体" w:cs="Arial"/>
          <w:color w:val="auto"/>
          <w:kern w:val="0"/>
          <w:sz w:val="24"/>
          <w:highlight w:val="none"/>
        </w:rPr>
        <w:t>条例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：</w:t>
      </w:r>
    </w:p>
    <w:p>
      <w:pPr>
        <w:pStyle w:val="3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一</w:t>
      </w:r>
      <w:r>
        <w:rPr>
          <w:color w:val="auto"/>
          <w:highlight w:val="none"/>
        </w:rPr>
        <w:t>、</w:t>
      </w:r>
      <w:r>
        <w:rPr>
          <w:rFonts w:hint="default"/>
          <w:color w:val="auto"/>
          <w:highlight w:val="none"/>
          <w:lang w:val="en-US" w:eastAsia="zh-CN"/>
        </w:rPr>
        <w:t>评选</w:t>
      </w:r>
      <w:r>
        <w:rPr>
          <w:color w:val="auto"/>
          <w:highlight w:val="none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天津工业大学</w:t>
      </w: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控制科学与工程</w:t>
      </w:r>
      <w:r>
        <w:rPr>
          <w:rFonts w:ascii="宋体" w:hAnsi="宋体" w:cs="Arial"/>
          <w:color w:val="auto"/>
          <w:sz w:val="24"/>
          <w:highlight w:val="none"/>
        </w:rPr>
        <w:t>学院</w:t>
      </w:r>
      <w:r>
        <w:rPr>
          <w:rFonts w:hint="eastAsia" w:ascii="宋体" w:hAnsi="宋体"/>
          <w:color w:val="auto"/>
          <w:sz w:val="24"/>
          <w:highlight w:val="none"/>
        </w:rPr>
        <w:t>在校硕士研究生、本科生。其中，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硕士</w:t>
      </w:r>
      <w:r>
        <w:rPr>
          <w:rFonts w:hint="eastAsia" w:ascii="宋体" w:hAnsi="宋体" w:cs="Arial"/>
          <w:color w:val="auto"/>
          <w:sz w:val="24"/>
          <w:highlight w:val="none"/>
        </w:rPr>
        <w:t>研究生应为全日制的</w:t>
      </w:r>
      <w:r>
        <w:rPr>
          <w:rFonts w:hint="eastAsia" w:ascii="宋体" w:hAnsi="宋体"/>
          <w:color w:val="auto"/>
          <w:sz w:val="24"/>
          <w:highlight w:val="none"/>
        </w:rPr>
        <w:t>研二、研三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且当年度未获得其他奖学金的</w:t>
      </w:r>
      <w:r>
        <w:rPr>
          <w:rFonts w:hint="eastAsia" w:ascii="宋体" w:hAnsi="宋体"/>
          <w:color w:val="auto"/>
          <w:sz w:val="24"/>
          <w:highlight w:val="none"/>
        </w:rPr>
        <w:t>学生</w:t>
      </w:r>
      <w:r>
        <w:rPr>
          <w:rFonts w:hint="eastAsia" w:ascii="宋体" w:hAnsi="宋体" w:cs="Arial"/>
          <w:color w:val="auto"/>
          <w:sz w:val="24"/>
          <w:highlight w:val="none"/>
        </w:rPr>
        <w:t>，本科生限大三和大四年级</w:t>
      </w: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自动化专业</w:t>
      </w:r>
      <w:r>
        <w:rPr>
          <w:rFonts w:hint="eastAsia" w:ascii="宋体" w:hAnsi="宋体" w:cs="Arial"/>
          <w:color w:val="auto"/>
          <w:sz w:val="24"/>
          <w:highlight w:val="none"/>
        </w:rPr>
        <w:t>学生。</w:t>
      </w:r>
    </w:p>
    <w:p>
      <w:pPr>
        <w:pStyle w:val="3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二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</w:rPr>
        <w:t>评选</w:t>
      </w:r>
      <w:r>
        <w:rPr>
          <w:color w:val="auto"/>
          <w:highlight w:val="none"/>
        </w:rPr>
        <w:t>条件</w:t>
      </w:r>
      <w:r>
        <w:rPr>
          <w:rFonts w:hint="eastAsia"/>
          <w:color w:val="auto"/>
          <w:highlight w:val="none"/>
        </w:rPr>
        <w:t>及方法</w:t>
      </w:r>
    </w:p>
    <w:tbl>
      <w:tblPr>
        <w:tblStyle w:val="10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02"/>
        <w:gridCol w:w="772"/>
        <w:gridCol w:w="585"/>
        <w:gridCol w:w="3969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（元/年/人）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获奖人数</w:t>
            </w:r>
          </w:p>
        </w:tc>
        <w:tc>
          <w:tcPr>
            <w:tcW w:w="45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名额分配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一等奖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3500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eastAsia="zh-CN"/>
              </w:rPr>
              <w:t>控制科学与工程</w:t>
            </w:r>
            <w:r>
              <w:rPr>
                <w:rFonts w:ascii="宋体" w:hAnsi="宋体" w:cs="Arial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研究生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eastAsia="zh-CN"/>
              </w:rPr>
              <w:t>控制科学与工程</w:t>
            </w:r>
            <w:r>
              <w:rPr>
                <w:rFonts w:ascii="宋体" w:hAnsi="宋体" w:cs="Arial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自动化专业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本科生</w:t>
            </w: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二等奖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2000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eastAsia="zh-CN"/>
              </w:rPr>
              <w:t>控制科学与工程</w:t>
            </w:r>
            <w:r>
              <w:rPr>
                <w:rFonts w:ascii="宋体" w:hAnsi="宋体" w:cs="Arial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研究生</w:t>
            </w: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highlight w:val="none"/>
                <w:lang w:eastAsia="zh-CN"/>
              </w:rPr>
              <w:t>控制科学与工程</w:t>
            </w:r>
            <w:r>
              <w:rPr>
                <w:rFonts w:ascii="宋体" w:hAnsi="宋体" w:cs="Arial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学院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自动化专业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本科生</w:t>
            </w: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440" w:lineRule="exac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申请“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心汇心</w:t>
      </w:r>
      <w:r>
        <w:rPr>
          <w:rFonts w:hint="eastAsia" w:ascii="宋体" w:hAnsi="宋体"/>
          <w:color w:val="auto"/>
          <w:sz w:val="24"/>
          <w:highlight w:val="none"/>
        </w:rPr>
        <w:t>奖学金</w:t>
      </w:r>
      <w:r>
        <w:rPr>
          <w:rFonts w:ascii="宋体" w:hAnsi="宋体"/>
          <w:color w:val="auto"/>
          <w:sz w:val="24"/>
          <w:highlight w:val="none"/>
        </w:rPr>
        <w:t>”</w:t>
      </w:r>
      <w:r>
        <w:rPr>
          <w:rFonts w:hint="eastAsia" w:ascii="宋体" w:hAnsi="宋体"/>
          <w:color w:val="auto"/>
          <w:sz w:val="24"/>
          <w:highlight w:val="none"/>
        </w:rPr>
        <w:t>的本科生和研究生必须满足以下基本条件中的全部，然后再考虑增值条件。</w:t>
      </w:r>
    </w:p>
    <w:p>
      <w:pPr>
        <w:pStyle w:val="4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</w:t>
      </w:r>
      <w:r>
        <w:rPr>
          <w:color w:val="auto"/>
          <w:highlight w:val="none"/>
        </w:rPr>
        <w:t>、基本条件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（1）参评学生必须诚实守信、勤奋上进、品行端正、热爱祖国、</w:t>
      </w:r>
      <w:r>
        <w:rPr>
          <w:rFonts w:ascii="宋体" w:hAnsi="宋体"/>
          <w:color w:val="auto"/>
          <w:sz w:val="24"/>
          <w:highlight w:val="none"/>
        </w:rPr>
        <w:t>有较强的社会责任感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能严格遵守国家法纪、校规校纪，自觉遵守社会公德</w:t>
      </w:r>
      <w:r>
        <w:rPr>
          <w:rFonts w:hint="eastAsia" w:ascii="宋体" w:hAnsi="宋体"/>
          <w:color w:val="auto"/>
          <w:sz w:val="24"/>
          <w:highlight w:val="none"/>
        </w:rPr>
        <w:t>。受过各类处分者不得参与奖学金的评选。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有较强的集体荣誉感，团队合作精神，关心集体，</w:t>
      </w:r>
      <w:r>
        <w:rPr>
          <w:rFonts w:hint="eastAsia" w:ascii="宋体" w:hAnsi="宋体"/>
          <w:color w:val="auto"/>
          <w:sz w:val="24"/>
          <w:highlight w:val="none"/>
        </w:rPr>
        <w:t>热心帮助同学，</w:t>
      </w:r>
      <w:r>
        <w:rPr>
          <w:rFonts w:ascii="宋体" w:hAnsi="宋体"/>
          <w:color w:val="auto"/>
          <w:sz w:val="24"/>
          <w:highlight w:val="none"/>
        </w:rPr>
        <w:t>自觉参加并协助组织各种有益的集体活动和社会公益活动，并在活动中表现突出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学风严谨，学习目的明确，成绩优良。遵守考场纪律，无考场违纪现象</w:t>
      </w:r>
      <w:r>
        <w:rPr>
          <w:rFonts w:hint="eastAsia" w:ascii="宋体" w:hAnsi="宋体"/>
          <w:color w:val="auto"/>
          <w:sz w:val="24"/>
          <w:highlight w:val="none"/>
        </w:rPr>
        <w:t>。本科生前一学</w:t>
      </w:r>
      <w:r>
        <w:rPr>
          <w:rFonts w:ascii="宋体" w:hAnsi="宋体"/>
          <w:color w:val="auto"/>
          <w:sz w:val="24"/>
          <w:highlight w:val="none"/>
        </w:rPr>
        <w:t>年度考试成绩排名在专业前</w:t>
      </w:r>
      <w:r>
        <w:rPr>
          <w:rFonts w:hint="eastAsia" w:ascii="宋体" w:hAnsi="宋体"/>
          <w:color w:val="auto"/>
          <w:sz w:val="24"/>
          <w:highlight w:val="none"/>
        </w:rPr>
        <w:t>3</w:t>
      </w:r>
      <w:r>
        <w:rPr>
          <w:rFonts w:ascii="宋体" w:hAnsi="宋体"/>
          <w:color w:val="auto"/>
          <w:sz w:val="24"/>
          <w:highlight w:val="none"/>
        </w:rPr>
        <w:t>0%，且无任何</w:t>
      </w:r>
      <w:r>
        <w:rPr>
          <w:rFonts w:hint="eastAsia" w:ascii="宋体" w:hAnsi="宋体"/>
          <w:color w:val="auto"/>
          <w:sz w:val="24"/>
          <w:highlight w:val="none"/>
        </w:rPr>
        <w:t>考试</w:t>
      </w:r>
      <w:r>
        <w:rPr>
          <w:rFonts w:ascii="宋体" w:hAnsi="宋体"/>
          <w:color w:val="auto"/>
          <w:sz w:val="24"/>
          <w:highlight w:val="none"/>
        </w:rPr>
        <w:t>不及格科目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/>
          <w:color w:val="auto"/>
          <w:sz w:val="24"/>
          <w:highlight w:val="none"/>
        </w:rPr>
        <w:t>本科生</w:t>
      </w:r>
      <w:r>
        <w:rPr>
          <w:rFonts w:ascii="宋体" w:hAnsi="宋体"/>
          <w:color w:val="auto"/>
          <w:sz w:val="24"/>
          <w:highlight w:val="none"/>
        </w:rPr>
        <w:t>英语通过CET-4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highlight w:val="none"/>
        </w:rPr>
        <w:t>研究生无任何考试不及格科目。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具有创新意</w:t>
      </w:r>
      <w:r>
        <w:rPr>
          <w:rFonts w:hint="eastAsia" w:ascii="宋体" w:hAnsi="宋体"/>
          <w:color w:val="auto"/>
          <w:sz w:val="24"/>
          <w:highlight w:val="none"/>
        </w:rPr>
        <w:t>识</w:t>
      </w:r>
      <w:r>
        <w:rPr>
          <w:rFonts w:ascii="宋体" w:hAnsi="宋体"/>
          <w:color w:val="auto"/>
          <w:sz w:val="24"/>
          <w:highlight w:val="none"/>
        </w:rPr>
        <w:t>，在学习</w:t>
      </w:r>
      <w:r>
        <w:rPr>
          <w:rFonts w:hint="eastAsia" w:ascii="宋体" w:hAnsi="宋体"/>
          <w:color w:val="auto"/>
          <w:sz w:val="24"/>
          <w:highlight w:val="none"/>
        </w:rPr>
        <w:t>生活</w:t>
      </w:r>
      <w:r>
        <w:rPr>
          <w:rFonts w:ascii="宋体" w:hAnsi="宋体"/>
          <w:color w:val="auto"/>
          <w:sz w:val="24"/>
          <w:highlight w:val="none"/>
        </w:rPr>
        <w:t>中善于发掘新方法，尝试新事</w:t>
      </w:r>
      <w:r>
        <w:rPr>
          <w:rFonts w:hint="eastAsia" w:ascii="宋体" w:hAnsi="宋体"/>
          <w:color w:val="auto"/>
          <w:sz w:val="24"/>
          <w:highlight w:val="none"/>
        </w:rPr>
        <w:t>物</w:t>
      </w:r>
      <w:r>
        <w:rPr>
          <w:rFonts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（6）在天津工业大学学习期间原则上只享受一次“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心汇心</w:t>
      </w:r>
      <w:r>
        <w:rPr>
          <w:rFonts w:hint="eastAsia" w:ascii="宋体" w:hAnsi="宋体"/>
          <w:color w:val="auto"/>
          <w:sz w:val="24"/>
          <w:highlight w:val="none"/>
        </w:rPr>
        <w:t>奖学金”。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7）积极参加各种公益慈善活动者优先考虑。</w:t>
      </w:r>
    </w:p>
    <w:p>
      <w:pPr>
        <w:pStyle w:val="4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2、本科生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eastAsia"/>
          <w:color w:val="auto"/>
          <w:highlight w:val="none"/>
        </w:rPr>
        <w:t>评选方法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600" w:firstLineChars="249"/>
        <w:textAlignment w:val="auto"/>
        <w:rPr>
          <w:rFonts w:hint="eastAsia"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2.1</w:t>
      </w:r>
      <w:r>
        <w:rPr>
          <w:rFonts w:ascii="宋体" w:hAnsi="宋体"/>
          <w:b/>
          <w:color w:val="auto"/>
          <w:sz w:val="24"/>
          <w:highlight w:val="none"/>
        </w:rPr>
        <w:t>增值条件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代表学校参加全国、天津市各类竞赛、文艺汇演和其</w:t>
      </w:r>
      <w:r>
        <w:rPr>
          <w:rFonts w:hint="eastAsia" w:ascii="宋体" w:hAnsi="宋体"/>
          <w:color w:val="auto"/>
          <w:sz w:val="24"/>
          <w:highlight w:val="none"/>
        </w:rPr>
        <w:t>它</w:t>
      </w:r>
      <w:r>
        <w:rPr>
          <w:rFonts w:ascii="宋体" w:hAnsi="宋体"/>
          <w:color w:val="auto"/>
          <w:sz w:val="24"/>
          <w:highlight w:val="none"/>
        </w:rPr>
        <w:t>活动表现突出，为学校争得荣誉的个人或集体的主要成员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</w:t>
      </w:r>
      <w:r>
        <w:rPr>
          <w:rFonts w:ascii="宋体" w:hAnsi="宋体"/>
          <w:color w:val="auto"/>
          <w:sz w:val="24"/>
          <w:highlight w:val="none"/>
        </w:rPr>
        <w:t>在社团活动中表现突出，所在社团活动在学校影响较大，获得校级表彰的先进个人或集体的主要成员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（3）</w:t>
      </w:r>
      <w:r>
        <w:rPr>
          <w:rFonts w:ascii="宋体" w:hAnsi="宋体"/>
          <w:color w:val="auto"/>
          <w:sz w:val="24"/>
          <w:highlight w:val="none"/>
        </w:rPr>
        <w:t>在学生</w:t>
      </w:r>
      <w:r>
        <w:rPr>
          <w:rFonts w:hint="eastAsia" w:ascii="宋体" w:hAnsi="宋体"/>
          <w:color w:val="auto"/>
          <w:sz w:val="24"/>
          <w:highlight w:val="none"/>
        </w:rPr>
        <w:t>会、团委</w:t>
      </w:r>
      <w:r>
        <w:rPr>
          <w:rFonts w:ascii="宋体" w:hAnsi="宋体"/>
          <w:color w:val="auto"/>
          <w:sz w:val="24"/>
          <w:highlight w:val="none"/>
        </w:rPr>
        <w:t>工作中</w:t>
      </w:r>
      <w:r>
        <w:rPr>
          <w:rFonts w:hint="eastAsia" w:ascii="宋体" w:hAnsi="宋体"/>
          <w:color w:val="auto"/>
          <w:sz w:val="24"/>
          <w:highlight w:val="none"/>
        </w:rPr>
        <w:t>表现</w:t>
      </w:r>
      <w:r>
        <w:rPr>
          <w:rFonts w:ascii="宋体" w:hAnsi="宋体"/>
          <w:color w:val="auto"/>
          <w:sz w:val="24"/>
          <w:highlight w:val="none"/>
        </w:rPr>
        <w:t>突出，受到校级</w:t>
      </w:r>
      <w:r>
        <w:rPr>
          <w:rFonts w:hint="eastAsia" w:ascii="宋体" w:hAnsi="宋体"/>
          <w:color w:val="auto"/>
          <w:sz w:val="24"/>
          <w:highlight w:val="none"/>
        </w:rPr>
        <w:t>及</w:t>
      </w:r>
      <w:r>
        <w:rPr>
          <w:rFonts w:ascii="宋体" w:hAnsi="宋体"/>
          <w:color w:val="auto"/>
          <w:sz w:val="24"/>
          <w:highlight w:val="none"/>
        </w:rPr>
        <w:t>以上表彰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ascii="宋体" w:hAnsi="宋体"/>
          <w:color w:val="auto"/>
          <w:sz w:val="24"/>
          <w:highlight w:val="none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）</w:t>
      </w:r>
      <w:r>
        <w:rPr>
          <w:rFonts w:ascii="宋体" w:hAnsi="宋体"/>
          <w:color w:val="auto"/>
          <w:sz w:val="24"/>
          <w:highlight w:val="none"/>
        </w:rPr>
        <w:t>因其</w:t>
      </w:r>
      <w:r>
        <w:rPr>
          <w:rFonts w:hint="eastAsia" w:ascii="宋体" w:hAnsi="宋体"/>
          <w:color w:val="auto"/>
          <w:sz w:val="24"/>
          <w:highlight w:val="none"/>
        </w:rPr>
        <w:t>它</w:t>
      </w:r>
      <w:r>
        <w:rPr>
          <w:rFonts w:ascii="宋体" w:hAnsi="宋体"/>
          <w:color w:val="auto"/>
          <w:sz w:val="24"/>
          <w:highlight w:val="none"/>
        </w:rPr>
        <w:t>突出事迹受到国家、市、校级表彰的先进个人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658" w:firstLineChars="273"/>
        <w:textAlignment w:val="auto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2.2 计算方法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70" w:firstLineChars="196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（1）前一学年度必修课的学习成绩（占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0%的评选比重）。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（2）对学校课外活动做出的杰出贡献（占30%的评选比重）。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72" w:firstLineChars="196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2.3增值奖励分值评定办法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（1）国家级竞赛及等同级别竞赛的一、二、三等奖分别加</w:t>
      </w:r>
      <w:r>
        <w:rPr>
          <w:rFonts w:hint="default"/>
          <w:color w:val="auto"/>
          <w:sz w:val="24"/>
          <w:szCs w:val="24"/>
          <w:highlight w:val="none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分、</w:t>
      </w:r>
      <w:r>
        <w:rPr>
          <w:rFonts w:hint="default"/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分、</w:t>
      </w:r>
      <w:r>
        <w:rPr>
          <w:rFonts w:hint="default"/>
          <w:color w:val="auto"/>
          <w:sz w:val="24"/>
          <w:szCs w:val="24"/>
          <w:highlight w:val="none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分；其中全国</w:t>
      </w:r>
      <w:r>
        <w:rPr>
          <w:rFonts w:hint="default"/>
          <w:color w:val="auto"/>
          <w:sz w:val="24"/>
          <w:szCs w:val="24"/>
          <w:highlight w:val="none"/>
        </w:rPr>
        <w:t>大学</w:t>
      </w:r>
      <w:r>
        <w:rPr>
          <w:rFonts w:hint="eastAsia"/>
          <w:color w:val="auto"/>
          <w:sz w:val="24"/>
          <w:szCs w:val="24"/>
          <w:highlight w:val="none"/>
        </w:rPr>
        <w:t>生电子</w:t>
      </w:r>
      <w:r>
        <w:rPr>
          <w:rFonts w:hint="default"/>
          <w:color w:val="auto"/>
          <w:sz w:val="24"/>
          <w:szCs w:val="24"/>
          <w:highlight w:val="none"/>
        </w:rPr>
        <w:t>设计竞赛国家二等奖获得者加</w:t>
      </w:r>
      <w:r>
        <w:rPr>
          <w:rFonts w:hint="eastAsia"/>
          <w:color w:val="auto"/>
          <w:sz w:val="24"/>
          <w:szCs w:val="24"/>
          <w:highlight w:val="none"/>
        </w:rPr>
        <w:t>4分；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（2）天津市级竞赛及等同级别竞赛的一、二、三等奖分别加1.5分、1分、0.5分；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）学校“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天工杯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”竞赛一、二等奖获奖者，分别奖励</w:t>
      </w:r>
      <w:r>
        <w:rPr>
          <w:rFonts w:hint="default" w:ascii="宋体" w:hAnsi="宋体"/>
          <w:color w:val="auto"/>
          <w:sz w:val="24"/>
          <w:szCs w:val="24"/>
          <w:highlight w:val="none"/>
        </w:rPr>
        <w:t>0.5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分、0.</w:t>
      </w:r>
      <w:r>
        <w:rPr>
          <w:rFonts w:hint="default" w:ascii="宋体" w:hAnsi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发明专利学生第一发明人奖励1.5分；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实用新型专利学生第一发明人奖励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0.5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以学生为第一作者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发表或录用 </w:t>
      </w:r>
      <w:r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  <w:t xml:space="preserve">1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篇被</w:t>
      </w:r>
      <w:r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  <w:t>SCI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  <w:t>EI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收录的学术期刊论文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奖励1.5分（注：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中文论文仅限正刊发表，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论文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收录情况需要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天津工业大学图书馆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开具证明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以学生为第一作者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发表或录用 </w:t>
      </w:r>
      <w:r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  <w:t xml:space="preserve">1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篇被《中国科学引文数据库》（</w:t>
      </w:r>
      <w:r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  <w:t>CSCD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）的核心库收录的期刊论文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奖励1.5分（注：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论文仅限正刊发表，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论文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收录情况需要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天津工业大学图书馆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开具证明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）获得市级及以上“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优秀学生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”、“优秀团员”、“优秀学生干部”、“优秀团干部”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、“优秀党员”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等称号的奖励1.5分；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）获得校级“三好学生标兵”、“十佳大学生”、“优秀团员标兵”、“优秀学生干部标兵”、“优秀团干部标兵”等称号的奖励1分；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）获得校级“三好学生”、“优秀团员”、“优秀学生干部”、“优秀团干部”、“优秀党员”等称号的奖励0.5分；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）校、院学生会主席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团成员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、院团委副书记奖励1.5分；院优秀党务工作者奖励1.5分，院党务工作者奖励1分；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点滴生活服务中心主席团成员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奖励1分，院学生会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负责人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奖励0.5分，院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生活服务中心负责人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的奖励0.5分。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通过学校或学院招募，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在市级及以上级别的大型活动中服务2个月以上的志愿者，奖励1分。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 w:eastAsia="宋体" w:cs="Times New Roman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备注：学科竞赛级别认定见附录，各级别比赛的赛区赛，按低一级别界定。同一竞赛作品只能以最高奖励标准奖励加分一次，不得累加。要求</w:t>
      </w:r>
      <w:r>
        <w:rPr>
          <w:rFonts w:hint="eastAsia" w:ascii="宋体" w:hAnsi="宋体" w:eastAsia="宋体" w:cs="Times New Roman"/>
          <w:bCs w:val="0"/>
          <w:color w:val="auto"/>
          <w:sz w:val="24"/>
          <w:szCs w:val="24"/>
          <w:highlight w:val="none"/>
        </w:rPr>
        <w:t>专利已获授权证书，论文已发表或录用，且第一单位均为天津工业大学。</w:t>
      </w:r>
      <w:r>
        <w:rPr>
          <w:rFonts w:hint="eastAsia" w:ascii="宋体" w:hAnsi="宋体" w:cs="Times New Roman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Times New Roman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Times New Roman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Times New Roman"/>
          <w:bCs w:val="0"/>
          <w:color w:val="auto"/>
          <w:sz w:val="24"/>
          <w:szCs w:val="24"/>
          <w:highlight w:val="none"/>
          <w:lang w:val="en-US" w:eastAsia="zh-CN"/>
        </w:rPr>
        <w:t>-（11）条中</w:t>
      </w:r>
      <w:r>
        <w:rPr>
          <w:rFonts w:hint="eastAsia" w:ascii="宋体" w:hAnsi="宋体" w:eastAsia="宋体" w:cs="Times New Roman"/>
          <w:bCs w:val="0"/>
          <w:color w:val="auto"/>
          <w:sz w:val="24"/>
          <w:szCs w:val="24"/>
          <w:highlight w:val="none"/>
        </w:rPr>
        <w:t>同一项目、同一级别只能以最高奖励标准奖励加分一次，不得累加。</w:t>
      </w:r>
    </w:p>
    <w:p>
      <w:pPr>
        <w:pStyle w:val="4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highlight w:val="none"/>
        </w:rPr>
        <w:t>3、研究生的评选方法</w:t>
      </w:r>
      <w:r>
        <w:rPr>
          <w:rFonts w:hint="eastAsia"/>
          <w:color w:val="auto"/>
          <w:highlight w:val="none"/>
          <w:lang w:eastAsia="zh-CN"/>
        </w:rPr>
        <w:t>参考控制科学与工程学院研究生相关评定办法，</w:t>
      </w:r>
      <w:r>
        <w:rPr>
          <w:rFonts w:hint="eastAsia" w:ascii="宋体" w:hAnsi="宋体"/>
          <w:bCs w:val="0"/>
          <w:color w:val="auto"/>
          <w:sz w:val="24"/>
          <w:highlight w:val="none"/>
          <w:lang w:eastAsia="zh-CN"/>
        </w:rPr>
        <w:t>未尽事宜</w:t>
      </w:r>
      <w:r>
        <w:rPr>
          <w:rFonts w:hint="eastAsia" w:ascii="宋体" w:hAnsi="宋体"/>
          <w:bCs w:val="0"/>
          <w:color w:val="auto"/>
          <w:sz w:val="24"/>
          <w:highlight w:val="none"/>
        </w:rPr>
        <w:t>由</w:t>
      </w:r>
      <w:r>
        <w:rPr>
          <w:rFonts w:hint="eastAsia" w:ascii="宋体" w:hAnsi="宋体"/>
          <w:bCs w:val="0"/>
          <w:color w:val="auto"/>
          <w:sz w:val="24"/>
          <w:highlight w:val="none"/>
          <w:lang w:eastAsia="zh-CN"/>
        </w:rPr>
        <w:t>控制科学与工程</w:t>
      </w:r>
      <w:r>
        <w:rPr>
          <w:rFonts w:hint="eastAsia" w:ascii="宋体" w:hAnsi="宋体"/>
          <w:bCs w:val="0"/>
          <w:color w:val="auto"/>
          <w:sz w:val="24"/>
          <w:highlight w:val="none"/>
        </w:rPr>
        <w:t>学院研究生奖助工作评审委员会研究决定。</w:t>
      </w:r>
    </w:p>
    <w:p>
      <w:pPr>
        <w:pStyle w:val="3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三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</w:rPr>
        <w:t>申请学生需提供的材料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textAlignment w:val="auto"/>
        <w:rPr>
          <w:rFonts w:hint="eastAsia"/>
          <w:color w:val="auto"/>
          <w:highlight w:val="none"/>
        </w:rPr>
      </w:pPr>
      <w:r>
        <w:rPr>
          <w:color w:val="auto"/>
          <w:highlight w:val="none"/>
        </w:rPr>
        <w:t>1、</w:t>
      </w:r>
      <w:r>
        <w:rPr>
          <w:rFonts w:hint="eastAsia"/>
          <w:color w:val="auto"/>
          <w:highlight w:val="none"/>
          <w:lang w:eastAsia="zh-CN"/>
        </w:rPr>
        <w:t>心汇心</w:t>
      </w:r>
      <w:r>
        <w:rPr>
          <w:rFonts w:hint="eastAsia"/>
          <w:color w:val="auto"/>
          <w:highlight w:val="none"/>
        </w:rPr>
        <w:t>奖学金</w:t>
      </w:r>
      <w:r>
        <w:rPr>
          <w:color w:val="auto"/>
          <w:highlight w:val="none"/>
        </w:rPr>
        <w:t>申请登记表</w:t>
      </w:r>
      <w:r>
        <w:rPr>
          <w:rFonts w:hint="eastAsia"/>
          <w:color w:val="auto"/>
          <w:highlight w:val="none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2、</w:t>
      </w:r>
      <w:r>
        <w:rPr>
          <w:rFonts w:hint="eastAsia"/>
          <w:color w:val="auto"/>
          <w:highlight w:val="none"/>
          <w:lang w:eastAsia="zh-CN"/>
        </w:rPr>
        <w:t>本科期间</w:t>
      </w:r>
      <w:r>
        <w:rPr>
          <w:rFonts w:hint="eastAsia"/>
          <w:color w:val="auto"/>
          <w:highlight w:val="none"/>
        </w:rPr>
        <w:t>各类获奖、成果、论文</w:t>
      </w:r>
      <w:r>
        <w:rPr>
          <w:rFonts w:hint="eastAsia"/>
          <w:color w:val="auto"/>
          <w:highlight w:val="none"/>
          <w:lang w:eastAsia="zh-CN"/>
        </w:rPr>
        <w:t>原件和</w:t>
      </w:r>
      <w:r>
        <w:rPr>
          <w:color w:val="auto"/>
          <w:highlight w:val="none"/>
        </w:rPr>
        <w:t>复印件</w:t>
      </w:r>
      <w:r>
        <w:rPr>
          <w:rFonts w:hint="eastAsia"/>
          <w:color w:val="auto"/>
          <w:highlight w:val="none"/>
          <w:lang w:eastAsia="zh-CN"/>
        </w:rPr>
        <w:t>，其中学科竞赛获奖需要由指导教师签字的承诺书</w:t>
      </w:r>
      <w:r>
        <w:rPr>
          <w:color w:val="auto"/>
          <w:highlight w:val="none"/>
        </w:rPr>
        <w:t>。</w:t>
      </w:r>
      <w:r>
        <w:rPr>
          <w:rFonts w:hint="eastAsia"/>
          <w:color w:val="auto"/>
          <w:highlight w:val="none"/>
        </w:rPr>
        <w:t>非在校</w:t>
      </w:r>
      <w:r>
        <w:rPr>
          <w:rFonts w:hint="eastAsia"/>
          <w:color w:val="auto"/>
          <w:highlight w:val="none"/>
          <w:lang w:val="en-US" w:eastAsia="zh-CN"/>
        </w:rPr>
        <w:t>和非本学习阶段</w:t>
      </w:r>
      <w:r>
        <w:rPr>
          <w:rFonts w:hint="eastAsia"/>
          <w:color w:val="auto"/>
          <w:highlight w:val="none"/>
        </w:rPr>
        <w:t>期间</w:t>
      </w:r>
      <w:r>
        <w:rPr>
          <w:color w:val="auto"/>
          <w:highlight w:val="none"/>
        </w:rPr>
        <w:t>所取得的</w:t>
      </w:r>
      <w:r>
        <w:rPr>
          <w:rFonts w:hint="eastAsia"/>
          <w:color w:val="auto"/>
          <w:highlight w:val="none"/>
        </w:rPr>
        <w:t>获奖、取得的</w:t>
      </w:r>
      <w:r>
        <w:rPr>
          <w:color w:val="auto"/>
          <w:highlight w:val="none"/>
        </w:rPr>
        <w:t>研究成果和发表的论文不</w:t>
      </w:r>
      <w:r>
        <w:rPr>
          <w:rFonts w:hint="eastAsia"/>
          <w:color w:val="auto"/>
          <w:highlight w:val="none"/>
        </w:rPr>
        <w:t>得</w:t>
      </w:r>
      <w:r>
        <w:rPr>
          <w:color w:val="auto"/>
          <w:highlight w:val="none"/>
        </w:rPr>
        <w:t xml:space="preserve">计入。 </w:t>
      </w:r>
    </w:p>
    <w:p>
      <w:pPr>
        <w:pStyle w:val="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四</w:t>
      </w:r>
      <w:r>
        <w:rPr>
          <w:color w:val="auto"/>
          <w:highlight w:val="none"/>
        </w:rPr>
        <w:t>、评审程序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jc w:val="left"/>
        <w:textAlignment w:val="auto"/>
        <w:rPr>
          <w:rFonts w:ascii="宋体" w:hAnsi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</w:rPr>
        <w:t>1、</w:t>
      </w:r>
      <w:r>
        <w:rPr>
          <w:rFonts w:ascii="宋体" w:hAnsi="宋体" w:cs="Arial"/>
          <w:color w:val="auto"/>
          <w:kern w:val="0"/>
          <w:sz w:val="24"/>
          <w:highlight w:val="none"/>
        </w:rPr>
        <w:t>符合基本条件的学生本人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按奖学金的申请时间，</w:t>
      </w:r>
      <w:r>
        <w:rPr>
          <w:rFonts w:ascii="宋体" w:hAnsi="宋体" w:cs="Arial"/>
          <w:color w:val="auto"/>
          <w:kern w:val="0"/>
          <w:sz w:val="24"/>
          <w:highlight w:val="none"/>
        </w:rPr>
        <w:t>向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学院</w:t>
      </w:r>
      <w:r>
        <w:rPr>
          <w:rFonts w:ascii="宋体" w:hAnsi="宋体" w:cs="Arial"/>
          <w:color w:val="auto"/>
          <w:kern w:val="0"/>
          <w:sz w:val="24"/>
          <w:highlight w:val="none"/>
        </w:rPr>
        <w:t>提出书面申请，并提供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相关证明</w:t>
      </w:r>
      <w:r>
        <w:rPr>
          <w:rFonts w:ascii="宋体" w:hAnsi="宋体" w:cs="Arial"/>
          <w:color w:val="auto"/>
          <w:kern w:val="0"/>
          <w:sz w:val="24"/>
          <w:highlight w:val="none"/>
        </w:rPr>
        <w:t>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jc w:val="left"/>
        <w:textAlignment w:val="auto"/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ascii="宋体" w:hAnsi="宋体" w:cs="Arial"/>
          <w:color w:val="auto"/>
          <w:kern w:val="0"/>
          <w:sz w:val="24"/>
          <w:highlight w:val="none"/>
        </w:rPr>
        <w:t>根据评选条件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、</w:t>
      </w:r>
      <w:r>
        <w:rPr>
          <w:rFonts w:ascii="宋体" w:hAnsi="宋体" w:cs="Arial"/>
          <w:color w:val="auto"/>
          <w:kern w:val="0"/>
          <w:sz w:val="24"/>
          <w:highlight w:val="none"/>
        </w:rPr>
        <w:t>获奖名额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及评选办法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学院研究生奖助工作评审委员会提出获奖研究生建议人选，学院本科生奖学金评审小组提出获奖本科生建议人选。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jc w:val="left"/>
        <w:textAlignment w:val="auto"/>
        <w:rPr>
          <w:rFonts w:ascii="宋体" w:hAnsi="宋体" w:cs="Arial"/>
          <w:color w:val="auto"/>
          <w:kern w:val="0"/>
          <w:sz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3、心汇心奖学金评审委员会对研究生和本科生建议人选进行审议，通过后</w:t>
      </w:r>
      <w:r>
        <w:rPr>
          <w:rFonts w:hint="eastAsia" w:ascii="宋体" w:hAnsi="宋体" w:cs="Arial"/>
          <w:color w:val="auto"/>
          <w:kern w:val="0"/>
          <w:sz w:val="24"/>
          <w:highlight w:val="none"/>
        </w:rPr>
        <w:t>公示3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个工作日</w:t>
      </w:r>
      <w:r>
        <w:rPr>
          <w:rFonts w:ascii="宋体" w:hAnsi="宋体" w:cs="Arial"/>
          <w:color w:val="auto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jc w:val="left"/>
        <w:textAlignment w:val="auto"/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、公示无异议后，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由控制科学与工程学院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整理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并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提供名单及相关申请资料给南京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阳光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心汇心公益基金会和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天津市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天津工业大学教育发展基金会审核。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540" w:firstLineChars="225"/>
        <w:jc w:val="left"/>
        <w:textAlignment w:val="auto"/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、南京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阳光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心汇心公益基金会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和学校基金会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审核通过后，确定最终获奖学生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，报学生处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学校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基金会与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控制科学与工程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学院联合组织颁奖仪式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，并邀请捐赠方参与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，为获奖学生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颁发</w:t>
      </w:r>
      <w:r>
        <w:rPr>
          <w:rFonts w:hint="default" w:ascii="宋体" w:hAnsi="宋体" w:cs="Arial"/>
          <w:color w:val="auto"/>
          <w:kern w:val="0"/>
          <w:sz w:val="24"/>
          <w:highlight w:val="none"/>
          <w:lang w:val="en-US" w:eastAsia="zh-CN"/>
        </w:rPr>
        <w:t>荣誉证书，奖学金由学校基金会委托学校财务处统一转入学生本人银行账户。</w:t>
      </w:r>
    </w:p>
    <w:p>
      <w:pPr>
        <w:pStyle w:val="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五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</w:rPr>
        <w:t>评</w:t>
      </w:r>
      <w:r>
        <w:rPr>
          <w:rFonts w:hint="eastAsia"/>
          <w:color w:val="auto"/>
          <w:highlight w:val="none"/>
          <w:lang w:val="en-US" w:eastAsia="zh-CN"/>
        </w:rPr>
        <w:t>选</w:t>
      </w:r>
      <w:r>
        <w:rPr>
          <w:rFonts w:hint="eastAsia"/>
          <w:color w:val="auto"/>
          <w:highlight w:val="none"/>
        </w:rPr>
        <w:t>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1、设立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心汇心</w:t>
      </w:r>
      <w:r>
        <w:rPr>
          <w:rFonts w:ascii="宋体" w:hAnsi="宋体"/>
          <w:color w:val="auto"/>
          <w:sz w:val="24"/>
          <w:highlight w:val="none"/>
        </w:rPr>
        <w:t>奖学金评审委员会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由控制科学与工程学院领导班子、研究生管理办公室主任、学生工作办公室主任、辅导员代表、教师代表、学生代表组成，人员8-11人，具体负责奖学金的统筹协调、评审及异议调查等事宜。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2、设立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心汇心</w:t>
      </w:r>
      <w:r>
        <w:rPr>
          <w:rFonts w:hint="eastAsia" w:ascii="宋体" w:hAnsi="宋体"/>
          <w:color w:val="auto"/>
          <w:sz w:val="24"/>
          <w:highlight w:val="none"/>
        </w:rPr>
        <w:t>奖学金管理办公室，具体设在天津工业大学学生处，负责发放评审通知、后期表彰文件拟定、材料备案、过程监督等工作。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3、学院研究生奖助工作评审委员会成员和</w:t>
      </w:r>
      <w:r>
        <w:rPr>
          <w:rFonts w:hint="eastAsia" w:ascii="宋体" w:hAnsi="宋体" w:cs="Arial"/>
          <w:color w:val="auto"/>
          <w:kern w:val="0"/>
          <w:sz w:val="24"/>
          <w:highlight w:val="none"/>
          <w:lang w:val="en-US" w:eastAsia="zh-CN"/>
        </w:rPr>
        <w:t>本科生奖学金评审小组成员依据学校相关文件确定。</w:t>
      </w:r>
    </w:p>
    <w:p>
      <w:pPr>
        <w:pStyle w:val="3"/>
        <w:bidi w:val="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六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实施与解释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1、“心汇心奖学金”与各类奖学金兼得情况参照“天津工业大学本科生奖学金评定办法”执行。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480" w:firstLineChars="200"/>
        <w:textAlignment w:val="auto"/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2、“心汇心奖学金”评选条例由“心汇心奖学金”评审委员会负责解释。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textAlignment w:val="auto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南京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阳光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心汇心公益基金会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center"/>
        <w:textAlignment w:val="auto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      天津市天津工业大学教育发展基金会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680" w:firstLineChars="195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天津工业大学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控制科学与工程</w:t>
      </w:r>
      <w:r>
        <w:rPr>
          <w:rFonts w:hint="eastAsia" w:ascii="宋体" w:hAnsi="宋体"/>
          <w:color w:val="auto"/>
          <w:sz w:val="24"/>
          <w:highlight w:val="none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    20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附录：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赛事的等级认定依据国家颁布的竞赛白皮书和教务处规定，其他未列入赛事按教务处文件执行，如有新增赛事由学院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奖学金评审</w:t>
      </w:r>
      <w:r>
        <w:rPr>
          <w:rFonts w:hint="eastAsia" w:ascii="宋体" w:hAnsi="宋体"/>
          <w:color w:val="auto"/>
          <w:sz w:val="24"/>
          <w:highlight w:val="none"/>
        </w:rPr>
        <w:t>小组讨论决定。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国家级竞赛及等同级别竞赛目录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1、全国大学生“挑战杯”课外学术科技作品竞赛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2、全国大学生电子设计竞赛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3、全国大学生数学建模竞赛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4、全国大学生“挑战杯”创新创业计划竞赛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5、全国大学生节能减排社会实践与科技竞赛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6、全国大学生“西门子杯”工业自动化挑战赛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8、全国大学生智能汽车竞赛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9、美国大学生数学建模竞赛 （加分</w:t>
      </w:r>
      <w:r>
        <w:rPr>
          <w:color w:val="auto"/>
          <w:sz w:val="24"/>
          <w:szCs w:val="24"/>
          <w:highlight w:val="none"/>
        </w:rPr>
        <w:t>系数</w:t>
      </w:r>
      <w:r>
        <w:rPr>
          <w:rFonts w:hint="eastAsia"/>
          <w:color w:val="auto"/>
          <w:sz w:val="24"/>
          <w:szCs w:val="24"/>
          <w:highlight w:val="none"/>
        </w:rPr>
        <w:t>乘以0.8）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10、美国大学生程序设计竞赛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11、中国“互联网+”大学生创新创业大赛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12、“创青春”全国大学生创业大赛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14、全国大学生机器人大赛（ROBOMASTERS）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15</w:t>
      </w:r>
      <w:r>
        <w:rPr>
          <w:rFonts w:hint="eastAsia"/>
          <w:color w:val="auto"/>
          <w:sz w:val="24"/>
          <w:szCs w:val="24"/>
          <w:highlight w:val="none"/>
        </w:rPr>
        <w:t>、全国大学生机器人大赛（ROBOCON）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2" w:firstLineChars="200"/>
        <w:textAlignment w:val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天津市级竞赛及等同市级竞赛目录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</w:t>
      </w:r>
      <w:r>
        <w:rPr>
          <w:rFonts w:hint="eastAsia"/>
          <w:color w:val="auto"/>
          <w:sz w:val="24"/>
          <w:szCs w:val="24"/>
          <w:highlight w:val="none"/>
        </w:rPr>
        <w:t xml:space="preserve">、“AB杯”全国大学生自动化系统应用大赛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 xml:space="preserve">、“三菱电机杯”全国大学生电气与自动化大赛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、全国大学生“OMRON”自动化控制应用设计大赛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、中国智能机器人大赛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5</w:t>
      </w:r>
      <w:r>
        <w:rPr>
          <w:rFonts w:hint="eastAsia"/>
          <w:color w:val="auto"/>
          <w:sz w:val="24"/>
          <w:szCs w:val="24"/>
          <w:highlight w:val="none"/>
        </w:rPr>
        <w:t>、中国机器人大赛暨RobCup公开赛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6</w:t>
      </w:r>
      <w:r>
        <w:rPr>
          <w:rFonts w:hint="eastAsia"/>
          <w:color w:val="auto"/>
          <w:sz w:val="24"/>
          <w:szCs w:val="24"/>
          <w:highlight w:val="none"/>
        </w:rPr>
        <w:t>、中国工程机器人大赛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7</w:t>
      </w:r>
      <w:r>
        <w:rPr>
          <w:rFonts w:hint="eastAsia"/>
          <w:color w:val="auto"/>
          <w:sz w:val="24"/>
          <w:szCs w:val="24"/>
          <w:highlight w:val="none"/>
        </w:rPr>
        <w:t>、华北五省市大学生机器人大赛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>、天津市大学生机器人大赛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9</w:t>
      </w:r>
      <w:r>
        <w:rPr>
          <w:rFonts w:hint="eastAsia"/>
          <w:color w:val="auto"/>
          <w:sz w:val="24"/>
          <w:szCs w:val="24"/>
          <w:highlight w:val="none"/>
        </w:rPr>
        <w:t>、“博诺杯”天津市大学生空中机器人竞赛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、天津市大学生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信息技术“新工科”工程实践创新技术</w:t>
      </w:r>
      <w:r>
        <w:rPr>
          <w:rFonts w:hint="eastAsia"/>
          <w:color w:val="auto"/>
          <w:sz w:val="24"/>
          <w:szCs w:val="24"/>
          <w:highlight w:val="none"/>
        </w:rPr>
        <w:t>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、天津市大学生“电脑鼠走迷宫”竞赛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12</w:t>
      </w:r>
      <w:r>
        <w:rPr>
          <w:rFonts w:hint="eastAsia"/>
          <w:color w:val="auto"/>
          <w:sz w:val="24"/>
          <w:szCs w:val="24"/>
          <w:highlight w:val="none"/>
        </w:rPr>
        <w:t>、中国国际照明灯具设计大赛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、“TI”杯天津市大学生电子设计竞赛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、天津市大学生单片机应用设计竞赛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5</w:t>
      </w:r>
      <w:r>
        <w:rPr>
          <w:rFonts w:hint="eastAsia"/>
          <w:color w:val="auto"/>
          <w:sz w:val="24"/>
          <w:szCs w:val="24"/>
          <w:highlight w:val="none"/>
        </w:rPr>
        <w:t>、全国大学生“博创杯”单片机竞赛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6</w:t>
      </w:r>
      <w:r>
        <w:rPr>
          <w:rFonts w:hint="eastAsia"/>
          <w:color w:val="auto"/>
          <w:sz w:val="24"/>
          <w:szCs w:val="24"/>
          <w:highlight w:val="none"/>
        </w:rPr>
        <w:t>、全国物联网设计大赛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7</w:t>
      </w:r>
      <w:r>
        <w:rPr>
          <w:rFonts w:hint="eastAsia"/>
          <w:color w:val="auto"/>
          <w:sz w:val="24"/>
          <w:szCs w:val="24"/>
          <w:highlight w:val="none"/>
        </w:rPr>
        <w:t xml:space="preserve">、全国大学生数学竞赛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8</w:t>
      </w:r>
      <w:r>
        <w:rPr>
          <w:rFonts w:hint="eastAsia"/>
          <w:color w:val="auto"/>
          <w:sz w:val="24"/>
          <w:szCs w:val="24"/>
          <w:highlight w:val="none"/>
        </w:rPr>
        <w:t xml:space="preserve">、全国大学生英语竞赛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</w:t>
      </w:r>
      <w:r>
        <w:rPr>
          <w:color w:val="auto"/>
          <w:sz w:val="24"/>
          <w:szCs w:val="24"/>
          <w:highlight w:val="none"/>
        </w:rPr>
        <w:t>9</w:t>
      </w:r>
      <w:r>
        <w:rPr>
          <w:rFonts w:hint="eastAsia"/>
          <w:color w:val="auto"/>
          <w:sz w:val="24"/>
          <w:szCs w:val="24"/>
          <w:highlight w:val="none"/>
        </w:rPr>
        <w:t xml:space="preserve">、天津市大学生数学竞赛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20</w:t>
      </w:r>
      <w:r>
        <w:rPr>
          <w:rFonts w:hint="eastAsia"/>
          <w:color w:val="auto"/>
          <w:sz w:val="24"/>
          <w:szCs w:val="24"/>
          <w:highlight w:val="none"/>
        </w:rPr>
        <w:t xml:space="preserve">、天津市大学物理竞赛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21</w:t>
      </w:r>
      <w:r>
        <w:rPr>
          <w:rFonts w:hint="eastAsia"/>
          <w:color w:val="auto"/>
          <w:sz w:val="24"/>
          <w:szCs w:val="24"/>
          <w:highlight w:val="none"/>
        </w:rPr>
        <w:t>、“创青春”天津市大学生创业大赛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22</w:t>
      </w:r>
      <w:r>
        <w:rPr>
          <w:rFonts w:hint="eastAsia"/>
          <w:color w:val="auto"/>
          <w:sz w:val="24"/>
          <w:szCs w:val="24"/>
          <w:highlight w:val="none"/>
        </w:rPr>
        <w:t xml:space="preserve">、天津市大学生计算机应用能力竞赛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</w:t>
      </w:r>
      <w:r>
        <w:rPr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、全国大学生半导体光源系统研究与创新竞赛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</w:t>
      </w:r>
      <w:r>
        <w:rPr>
          <w:color w:val="auto"/>
          <w:sz w:val="24"/>
          <w:szCs w:val="24"/>
          <w:highlight w:val="none"/>
        </w:rPr>
        <w:t>4</w:t>
      </w:r>
      <w:r>
        <w:rPr>
          <w:rFonts w:hint="eastAsia"/>
          <w:color w:val="auto"/>
          <w:sz w:val="24"/>
          <w:szCs w:val="24"/>
          <w:highlight w:val="none"/>
        </w:rPr>
        <w:t>、全国大学生电工技术基础知识与创新竞赛（加分</w:t>
      </w:r>
      <w:r>
        <w:rPr>
          <w:color w:val="auto"/>
          <w:sz w:val="24"/>
          <w:szCs w:val="24"/>
          <w:highlight w:val="none"/>
        </w:rPr>
        <w:t>系数</w:t>
      </w:r>
      <w:r>
        <w:rPr>
          <w:rFonts w:hint="eastAsia"/>
          <w:color w:val="auto"/>
          <w:sz w:val="24"/>
          <w:szCs w:val="24"/>
          <w:highlight w:val="none"/>
        </w:rPr>
        <w:t>乘以0.8）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25</w:t>
      </w:r>
      <w:r>
        <w:rPr>
          <w:rFonts w:hint="eastAsia"/>
          <w:color w:val="auto"/>
          <w:sz w:val="24"/>
          <w:szCs w:val="24"/>
          <w:highlight w:val="none"/>
        </w:rPr>
        <w:t>、中国服务类机器人大赛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26</w:t>
      </w:r>
      <w:r>
        <w:rPr>
          <w:rFonts w:hint="eastAsia"/>
          <w:color w:val="auto"/>
          <w:sz w:val="24"/>
          <w:szCs w:val="24"/>
          <w:highlight w:val="none"/>
        </w:rPr>
        <w:t>、全国大学生机器人大赛（ROBOTAC）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27</w:t>
      </w:r>
      <w:r>
        <w:rPr>
          <w:rFonts w:hint="eastAsia"/>
          <w:color w:val="auto"/>
          <w:sz w:val="24"/>
          <w:szCs w:val="24"/>
          <w:highlight w:val="none"/>
        </w:rPr>
        <w:t>、全国大学生机器人大赛（创新创业大赛）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555BA"/>
    <w:rsid w:val="002946B0"/>
    <w:rsid w:val="009256A3"/>
    <w:rsid w:val="00AB26CB"/>
    <w:rsid w:val="01305DA6"/>
    <w:rsid w:val="01913047"/>
    <w:rsid w:val="01CA14A4"/>
    <w:rsid w:val="02397AE8"/>
    <w:rsid w:val="023C334D"/>
    <w:rsid w:val="024558B2"/>
    <w:rsid w:val="027F3FCB"/>
    <w:rsid w:val="02CF3579"/>
    <w:rsid w:val="031A0125"/>
    <w:rsid w:val="035B4D06"/>
    <w:rsid w:val="03E77225"/>
    <w:rsid w:val="065A38E9"/>
    <w:rsid w:val="082B6D66"/>
    <w:rsid w:val="098D00DB"/>
    <w:rsid w:val="0B0522D1"/>
    <w:rsid w:val="0B804640"/>
    <w:rsid w:val="0C7E2C42"/>
    <w:rsid w:val="0CD916EF"/>
    <w:rsid w:val="0D242F8C"/>
    <w:rsid w:val="0D843224"/>
    <w:rsid w:val="0D9364E0"/>
    <w:rsid w:val="0FF14A66"/>
    <w:rsid w:val="10223115"/>
    <w:rsid w:val="10AC05CA"/>
    <w:rsid w:val="116A7530"/>
    <w:rsid w:val="118558CB"/>
    <w:rsid w:val="1422148F"/>
    <w:rsid w:val="14545071"/>
    <w:rsid w:val="162F0CFE"/>
    <w:rsid w:val="17262746"/>
    <w:rsid w:val="17DD5F87"/>
    <w:rsid w:val="18164AEC"/>
    <w:rsid w:val="18723E78"/>
    <w:rsid w:val="198B4D94"/>
    <w:rsid w:val="19D909C0"/>
    <w:rsid w:val="1AAD60CC"/>
    <w:rsid w:val="1ABD2C7F"/>
    <w:rsid w:val="1C0340BA"/>
    <w:rsid w:val="1E241313"/>
    <w:rsid w:val="200A0966"/>
    <w:rsid w:val="21C63EF5"/>
    <w:rsid w:val="22CE220C"/>
    <w:rsid w:val="24B05D57"/>
    <w:rsid w:val="26185935"/>
    <w:rsid w:val="26CF393E"/>
    <w:rsid w:val="27627C74"/>
    <w:rsid w:val="27E30B92"/>
    <w:rsid w:val="28125A9D"/>
    <w:rsid w:val="2874716C"/>
    <w:rsid w:val="28A27C40"/>
    <w:rsid w:val="28B16641"/>
    <w:rsid w:val="2A6E1A34"/>
    <w:rsid w:val="2A7D5ECE"/>
    <w:rsid w:val="2ABE21B9"/>
    <w:rsid w:val="2B333432"/>
    <w:rsid w:val="2B445E7D"/>
    <w:rsid w:val="2B5013AC"/>
    <w:rsid w:val="2B7B414A"/>
    <w:rsid w:val="2B9C638E"/>
    <w:rsid w:val="2C5A2EB8"/>
    <w:rsid w:val="2DF554EB"/>
    <w:rsid w:val="2E04147B"/>
    <w:rsid w:val="2F501160"/>
    <w:rsid w:val="2FC729A9"/>
    <w:rsid w:val="302B0E80"/>
    <w:rsid w:val="30350E31"/>
    <w:rsid w:val="306E27D5"/>
    <w:rsid w:val="3190365B"/>
    <w:rsid w:val="330E6FEE"/>
    <w:rsid w:val="333E51DB"/>
    <w:rsid w:val="346E0DD7"/>
    <w:rsid w:val="35074559"/>
    <w:rsid w:val="35735A0E"/>
    <w:rsid w:val="37056628"/>
    <w:rsid w:val="376E59CE"/>
    <w:rsid w:val="3A430B63"/>
    <w:rsid w:val="3C3750DB"/>
    <w:rsid w:val="3C9D7DD3"/>
    <w:rsid w:val="3D9B1D0D"/>
    <w:rsid w:val="3DA4202A"/>
    <w:rsid w:val="3E1E732A"/>
    <w:rsid w:val="3E5054C4"/>
    <w:rsid w:val="3EF33D7F"/>
    <w:rsid w:val="3F31307B"/>
    <w:rsid w:val="3F540D04"/>
    <w:rsid w:val="3F7C5FBB"/>
    <w:rsid w:val="401E5746"/>
    <w:rsid w:val="412225A8"/>
    <w:rsid w:val="41871A47"/>
    <w:rsid w:val="41FD6970"/>
    <w:rsid w:val="42324AFB"/>
    <w:rsid w:val="435F752F"/>
    <w:rsid w:val="43D221FD"/>
    <w:rsid w:val="43D61108"/>
    <w:rsid w:val="442A6900"/>
    <w:rsid w:val="44BA1157"/>
    <w:rsid w:val="44C50AD5"/>
    <w:rsid w:val="45B533A9"/>
    <w:rsid w:val="46094D73"/>
    <w:rsid w:val="46BA2216"/>
    <w:rsid w:val="46C47119"/>
    <w:rsid w:val="476F1FBF"/>
    <w:rsid w:val="491D51AC"/>
    <w:rsid w:val="49507DED"/>
    <w:rsid w:val="4952142E"/>
    <w:rsid w:val="49AA6CE3"/>
    <w:rsid w:val="49EA28A0"/>
    <w:rsid w:val="4A9C7AC4"/>
    <w:rsid w:val="4A9F7BB1"/>
    <w:rsid w:val="4BB432B8"/>
    <w:rsid w:val="4CB53CB9"/>
    <w:rsid w:val="4D0473D7"/>
    <w:rsid w:val="4D4863A8"/>
    <w:rsid w:val="4E3C1A47"/>
    <w:rsid w:val="4EE555BA"/>
    <w:rsid w:val="50D0272C"/>
    <w:rsid w:val="51980C29"/>
    <w:rsid w:val="5240324B"/>
    <w:rsid w:val="52953AEE"/>
    <w:rsid w:val="52E817EA"/>
    <w:rsid w:val="53333477"/>
    <w:rsid w:val="534C12D1"/>
    <w:rsid w:val="537006DB"/>
    <w:rsid w:val="53EF0003"/>
    <w:rsid w:val="542F536F"/>
    <w:rsid w:val="54533F17"/>
    <w:rsid w:val="55943C93"/>
    <w:rsid w:val="560E1702"/>
    <w:rsid w:val="571A38F9"/>
    <w:rsid w:val="57CB0F78"/>
    <w:rsid w:val="584869EF"/>
    <w:rsid w:val="5973151E"/>
    <w:rsid w:val="59CB15E7"/>
    <w:rsid w:val="5B021E73"/>
    <w:rsid w:val="5BA42777"/>
    <w:rsid w:val="5D786752"/>
    <w:rsid w:val="60A31874"/>
    <w:rsid w:val="61AA2B47"/>
    <w:rsid w:val="61C34D8F"/>
    <w:rsid w:val="64295445"/>
    <w:rsid w:val="648473D0"/>
    <w:rsid w:val="64D74510"/>
    <w:rsid w:val="65617FCA"/>
    <w:rsid w:val="65AC21FB"/>
    <w:rsid w:val="67DE29B9"/>
    <w:rsid w:val="688C4549"/>
    <w:rsid w:val="68DB520E"/>
    <w:rsid w:val="69D603E7"/>
    <w:rsid w:val="6A430FBF"/>
    <w:rsid w:val="6DC12A4B"/>
    <w:rsid w:val="6DFE476F"/>
    <w:rsid w:val="6E834609"/>
    <w:rsid w:val="701A6378"/>
    <w:rsid w:val="71A303F4"/>
    <w:rsid w:val="71C66426"/>
    <w:rsid w:val="71D22D05"/>
    <w:rsid w:val="721E0D66"/>
    <w:rsid w:val="72874812"/>
    <w:rsid w:val="72D8258F"/>
    <w:rsid w:val="72DF5993"/>
    <w:rsid w:val="72F86F8B"/>
    <w:rsid w:val="735C35B7"/>
    <w:rsid w:val="74BD0D0B"/>
    <w:rsid w:val="756151D6"/>
    <w:rsid w:val="76AF56AA"/>
    <w:rsid w:val="789812FA"/>
    <w:rsid w:val="791127D6"/>
    <w:rsid w:val="79E97DD7"/>
    <w:rsid w:val="7B7E0815"/>
    <w:rsid w:val="7CB33CB3"/>
    <w:rsid w:val="7E6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endpag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2019-08-27T05:36:00Z</dcterms:created>
  <dc:creator>Administrator</dc:creator>
  <cp:lastModifiedBy>未定义</cp:lastModifiedBy>
  <cp:lastPrinted>2021-09-29T02:28:00Z</cp:lastPrinted>
  <dcterms:modified xsi:type="dcterms:W3CDTF">2021-10-07T04:22:59Z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C8FEE63A2177494C95AA679A46D7FE77</vt:lpwstr>
  </property>
</Properties>
</file>